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F1298" w14:textId="77777777" w:rsidR="0098298E" w:rsidRPr="0098298E" w:rsidRDefault="0098298E" w:rsidP="0098298E">
      <w:pPr>
        <w:spacing w:after="0"/>
        <w:jc w:val="center"/>
        <w:rPr>
          <w:b/>
          <w:bCs/>
          <w:sz w:val="40"/>
        </w:rPr>
      </w:pPr>
      <w:r w:rsidRPr="0098298E">
        <w:rPr>
          <w:b/>
          <w:bCs/>
          <w:sz w:val="40"/>
        </w:rPr>
        <w:t>Generative AI for Wireless and Energy Systems: A Diffusion Model Perspective</w:t>
      </w:r>
    </w:p>
    <w:p w14:paraId="29CBC36C" w14:textId="77777777" w:rsidR="00C50196" w:rsidRDefault="00C50196" w:rsidP="00DD1C38">
      <w:pPr>
        <w:spacing w:after="0"/>
        <w:jc w:val="center"/>
        <w:rPr>
          <w:sz w:val="28"/>
        </w:rPr>
      </w:pPr>
    </w:p>
    <w:p w14:paraId="14E24316" w14:textId="16DCA5A7" w:rsidR="0053157A" w:rsidRDefault="0053157A" w:rsidP="00DD1C38">
      <w:pPr>
        <w:spacing w:after="0"/>
        <w:jc w:val="center"/>
        <w:rPr>
          <w:sz w:val="28"/>
        </w:rPr>
      </w:pPr>
      <w:r>
        <w:rPr>
          <w:sz w:val="28"/>
        </w:rPr>
        <w:t>Zhu Han, ECE Department and CS Department, University of Houston</w:t>
      </w:r>
    </w:p>
    <w:p w14:paraId="227F581E" w14:textId="77777777" w:rsidR="00231245" w:rsidRDefault="00231245" w:rsidP="00231245">
      <w:pPr>
        <w:spacing w:after="0"/>
        <w:jc w:val="both"/>
        <w:rPr>
          <w:sz w:val="28"/>
        </w:rPr>
      </w:pPr>
    </w:p>
    <w:p w14:paraId="0DE17C72" w14:textId="5B773A3C" w:rsidR="001174FB" w:rsidRPr="001174FB" w:rsidRDefault="001174FB" w:rsidP="00231245">
      <w:pPr>
        <w:jc w:val="both"/>
        <w:rPr>
          <w:rFonts w:ascii="Calibri" w:hAnsi="Calibri" w:cs="Calibri"/>
          <w:color w:val="000000"/>
          <w:shd w:val="clear" w:color="auto" w:fill="FFFFFF"/>
          <w:lang w:eastAsia="zh-CN"/>
        </w:rPr>
      </w:pPr>
      <w:r w:rsidRPr="001174FB">
        <w:rPr>
          <w:rFonts w:ascii="Calibri" w:hAnsi="Calibri" w:cs="Calibri"/>
          <w:b/>
          <w:bCs/>
          <w:color w:val="000000"/>
          <w:shd w:val="clear" w:color="auto" w:fill="FFFFFF"/>
          <w:lang w:eastAsia="zh-CN"/>
        </w:rPr>
        <w:t>Abstract</w:t>
      </w:r>
      <w:r w:rsidRPr="001174FB">
        <w:rPr>
          <w:rFonts w:ascii="Calibri" w:hAnsi="Calibri" w:cs="Calibri"/>
          <w:color w:val="000000"/>
          <w:shd w:val="clear" w:color="auto" w:fill="FFFFFF"/>
          <w:lang w:eastAsia="zh-CN"/>
        </w:rPr>
        <w:t>:</w:t>
      </w:r>
      <w:r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 </w:t>
      </w:r>
      <w:r w:rsidRPr="001174FB">
        <w:rPr>
          <w:rFonts w:ascii="Calibri" w:hAnsi="Calibri" w:cs="Calibri" w:hint="eastAsia"/>
          <w:color w:val="000000"/>
          <w:shd w:val="clear" w:color="auto" w:fill="FFFFFF"/>
          <w:lang w:eastAsia="zh-CN"/>
        </w:rPr>
        <w:t>Diffusion models have rapidly evolved from image generators into a general framework for modeling complex data distributions. This talk presents three complementary directions that extend diffusion models beyond conventional generation and toward system-level intelligence. First, we revisit the reverse diffusion process through the lens of mean-field games, where denoising is reformulated as an optimal population-level transport problem between noise and data distributions. This perspective connects diffusion generation with controlled distribution evolution, saddle-point optimization, and coupled HJB</w:t>
      </w:r>
      <w:r w:rsidRPr="001174FB">
        <w:rPr>
          <w:rFonts w:ascii="Calibri" w:hAnsi="Calibri" w:cs="Calibri" w:hint="eastAsia"/>
          <w:color w:val="000000"/>
          <w:shd w:val="clear" w:color="auto" w:fill="FFFFFF"/>
          <w:lang w:eastAsia="zh-CN"/>
        </w:rPr>
        <w:t>–</w:t>
      </w:r>
      <w:r w:rsidRPr="001174FB">
        <w:rPr>
          <w:rFonts w:ascii="Calibri" w:hAnsi="Calibri" w:cs="Calibri" w:hint="eastAsia"/>
          <w:color w:val="000000"/>
          <w:shd w:val="clear" w:color="auto" w:fill="FFFFFF"/>
          <w:lang w:eastAsia="zh-CN"/>
        </w:rPr>
        <w:t xml:space="preserve">FPK dynamics. Second, we show how latent diffusion inpainting can reconstruct UAV radio maps from sparse and partial observations. By combining UAV-based sensing, </w:t>
      </w:r>
      <w:proofErr w:type="spellStart"/>
      <w:r w:rsidRPr="001174FB">
        <w:rPr>
          <w:rFonts w:ascii="Calibri" w:hAnsi="Calibri" w:cs="Calibri" w:hint="eastAsia"/>
          <w:color w:val="000000"/>
          <w:shd w:val="clear" w:color="auto" w:fill="FFFFFF"/>
          <w:lang w:eastAsia="zh-CN"/>
        </w:rPr>
        <w:t>spatio</w:t>
      </w:r>
      <w:proofErr w:type="spellEnd"/>
      <w:r w:rsidRPr="001174FB">
        <w:rPr>
          <w:rFonts w:ascii="Calibri" w:hAnsi="Calibri" w:cs="Calibri" w:hint="eastAsia"/>
          <w:color w:val="000000"/>
          <w:shd w:val="clear" w:color="auto" w:fill="FFFFFF"/>
          <w:lang w:eastAsia="zh-CN"/>
        </w:rPr>
        <w:t>-temporal latent diffusion, and radio map reconstruction, diffusion models become a tool for recovering hidden wireless environments under limited coverage and dynamic sensing constraints. Third, we introduce socio-aware diffusion for residential load data generation, where social attributes guide controllable generation for disadvantaged or data-scarce communities. Through global-personalized multi-step diffusion and fairness-oriented adversarial training, the model generates realistic and diverse electricity-consumption patterns while improving downstream forecasting and reducing data imbalance. Together, these works highlight a broader view of diffusion models: not merely as sample generators, but as controllable and conditional for reasoning about evolving distributions in large-scale infrastructure systems, including wireless networks and smart grids.</w:t>
      </w:r>
    </w:p>
    <w:p w14:paraId="5F42D2BC" w14:textId="7B51D83C" w:rsidR="00AE2CAC" w:rsidRPr="00231245" w:rsidRDefault="00DD21A9" w:rsidP="002312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Arial" w:hAnsi="Arial" w:cs="Arial"/>
          <w:noProof/>
          <w:color w:val="222222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65DF0191" wp14:editId="5A137D77">
            <wp:simplePos x="0" y="0"/>
            <wp:positionH relativeFrom="column">
              <wp:posOffset>4445267</wp:posOffset>
            </wp:positionH>
            <wp:positionV relativeFrom="paragraph">
              <wp:posOffset>12695</wp:posOffset>
            </wp:positionV>
            <wp:extent cx="1484630" cy="1928495"/>
            <wp:effectExtent l="0" t="0" r="1270" b="1905"/>
            <wp:wrapSquare wrapText="bothSides"/>
            <wp:docPr id="1474706779" name="Picture 1" descr="A person in a tuxed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706779" name="Picture 1" descr="A person in a tuxedo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192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B67">
        <w:rPr>
          <w:rFonts w:ascii="Verdana" w:hAnsi="Verdana"/>
          <w:b/>
          <w:color w:val="333333"/>
          <w:sz w:val="18"/>
          <w:szCs w:val="18"/>
        </w:rPr>
        <w:t>B</w:t>
      </w:r>
      <w:r w:rsidR="0053157A" w:rsidRPr="00CF17EE">
        <w:rPr>
          <w:rFonts w:ascii="Verdana" w:hAnsi="Verdana"/>
          <w:b/>
          <w:color w:val="333333"/>
          <w:sz w:val="18"/>
          <w:szCs w:val="18"/>
        </w:rPr>
        <w:t>io</w:t>
      </w:r>
      <w:r w:rsidR="0053157A">
        <w:rPr>
          <w:rFonts w:ascii="Verdana" w:hAnsi="Verdana"/>
          <w:color w:val="333333"/>
          <w:sz w:val="18"/>
          <w:szCs w:val="18"/>
        </w:rPr>
        <w:t xml:space="preserve">:  </w:t>
      </w:r>
      <w:r w:rsidR="00AE2CAC" w:rsidRPr="00414C93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Zhu Han received the B.S. degree in electronic engineering from Tsinghua University, in 1997, and the M.S. and Ph.D. degrees in electrical </w:t>
      </w:r>
      <w:r w:rsidR="00AE2CAC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and computer </w:t>
      </w:r>
      <w:r w:rsidR="00AE2CAC" w:rsidRPr="00414C93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engineering from the University of Maryland, College Park, in 1999 and 2003, respectively. From 2000 to 2002, he was an R&amp;D Engineer of JDSU, Germantown, Maryland. From 2003 to 2006, he was a Research Associate at the University of Maryland. From 2006 to 2008, he was an assistant professor </w:t>
      </w:r>
      <w:r w:rsidR="00AE2CAC">
        <w:rPr>
          <w:rFonts w:ascii="Calibri" w:hAnsi="Calibri" w:cs="Calibri"/>
          <w:color w:val="000000"/>
          <w:shd w:val="clear" w:color="auto" w:fill="FFFFFF"/>
          <w:lang w:eastAsia="zh-CN"/>
        </w:rPr>
        <w:t>at</w:t>
      </w:r>
      <w:r w:rsidR="00AE2CAC" w:rsidRPr="00414C93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 Boise State University, Idaho. Currently, he is a John and Rebecca </w:t>
      </w:r>
      <w:proofErr w:type="spellStart"/>
      <w:r w:rsidR="00AE2CAC" w:rsidRPr="00414C93">
        <w:rPr>
          <w:rFonts w:ascii="Calibri" w:hAnsi="Calibri" w:cs="Calibri"/>
          <w:color w:val="000000"/>
          <w:shd w:val="clear" w:color="auto" w:fill="FFFFFF"/>
          <w:lang w:eastAsia="zh-CN"/>
        </w:rPr>
        <w:t>Moores</w:t>
      </w:r>
      <w:proofErr w:type="spellEnd"/>
      <w:r w:rsidR="00AE2CAC" w:rsidRPr="00414C93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 Professor in </w:t>
      </w:r>
      <w:r w:rsidR="00AE2CAC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the </w:t>
      </w:r>
      <w:r w:rsidR="00AE2CAC" w:rsidRPr="00414C93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Electrical and Computer Engineering Department as well as </w:t>
      </w:r>
      <w:r w:rsidR="00AE2CAC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the </w:t>
      </w:r>
      <w:r w:rsidR="00AE2CAC" w:rsidRPr="00414C93">
        <w:rPr>
          <w:rFonts w:ascii="Calibri" w:hAnsi="Calibri" w:cs="Calibri"/>
          <w:color w:val="000000"/>
          <w:shd w:val="clear" w:color="auto" w:fill="FFFFFF"/>
          <w:lang w:eastAsia="zh-CN"/>
        </w:rPr>
        <w:t>Computer Science Department at</w:t>
      </w:r>
      <w:r w:rsidR="00AE2CAC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 the</w:t>
      </w:r>
      <w:r w:rsidR="00AE2CAC" w:rsidRPr="00414C93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 University of Houston, Texas. Dr. Han is an NSF CAREER award recipient of 2010</w:t>
      </w:r>
      <w:r w:rsidR="00AE2CAC">
        <w:rPr>
          <w:rFonts w:ascii="Calibri" w:hAnsi="Calibri" w:cs="Calibri"/>
          <w:color w:val="000000"/>
          <w:shd w:val="clear" w:color="auto" w:fill="FFFFFF"/>
          <w:lang w:eastAsia="zh-CN"/>
        </w:rPr>
        <w:t>, and</w:t>
      </w:r>
      <w:r w:rsidR="00AE2CAC" w:rsidRPr="00414C93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 the winner </w:t>
      </w:r>
      <w:r w:rsidR="00AE2CAC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of the </w:t>
      </w:r>
      <w:r w:rsidR="00AE2CAC" w:rsidRPr="00414C93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2021 IEEE Kiyo Tomiyasu Award. He has been an IEEE fellow since 2014, </w:t>
      </w:r>
      <w:r w:rsidR="00AE2CAC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an </w:t>
      </w:r>
      <w:r w:rsidR="00AE2CAC" w:rsidRPr="00414C93">
        <w:rPr>
          <w:rFonts w:ascii="Calibri" w:hAnsi="Calibri" w:cs="Calibri"/>
          <w:color w:val="000000"/>
          <w:shd w:val="clear" w:color="auto" w:fill="FFFFFF"/>
          <w:lang w:eastAsia="zh-CN"/>
        </w:rPr>
        <w:t>AAAS fellow since 2020</w:t>
      </w:r>
      <w:r w:rsidR="00EB073B">
        <w:rPr>
          <w:rFonts w:ascii="Calibri" w:hAnsi="Calibri" w:cs="Calibri"/>
          <w:color w:val="000000"/>
          <w:shd w:val="clear" w:color="auto" w:fill="FFFFFF"/>
          <w:lang w:eastAsia="zh-CN"/>
        </w:rPr>
        <w:t>, ACM fellow since 2024</w:t>
      </w:r>
      <w:r w:rsidR="00AE2CAC" w:rsidRPr="00414C93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, </w:t>
      </w:r>
      <w:r w:rsidR="00AE2CAC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an </w:t>
      </w:r>
      <w:r w:rsidR="00AE2CAC" w:rsidRPr="00414C93">
        <w:rPr>
          <w:rFonts w:ascii="Calibri" w:hAnsi="Calibri" w:cs="Calibri"/>
          <w:color w:val="000000"/>
          <w:shd w:val="clear" w:color="auto" w:fill="FFFFFF"/>
          <w:lang w:eastAsia="zh-CN"/>
        </w:rPr>
        <w:t>IEEE Distinguished Lecturer from 2015 to 2018</w:t>
      </w:r>
      <w:r w:rsidR="00AE2CAC">
        <w:rPr>
          <w:rFonts w:ascii="Calibri" w:hAnsi="Calibri" w:cs="Calibri"/>
          <w:color w:val="000000"/>
          <w:shd w:val="clear" w:color="auto" w:fill="FFFFFF"/>
          <w:lang w:eastAsia="zh-CN"/>
        </w:rPr>
        <w:t>,</w:t>
      </w:r>
      <w:r w:rsidR="00AE2CAC" w:rsidRPr="00414C93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 and </w:t>
      </w:r>
      <w:r w:rsidR="00AE2CAC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an </w:t>
      </w:r>
      <w:r w:rsidR="00AE2CAC" w:rsidRPr="00414C93">
        <w:rPr>
          <w:rFonts w:ascii="Calibri" w:hAnsi="Calibri" w:cs="Calibri"/>
          <w:color w:val="000000"/>
          <w:shd w:val="clear" w:color="auto" w:fill="FFFFFF"/>
          <w:lang w:eastAsia="zh-CN"/>
        </w:rPr>
        <w:t xml:space="preserve">ACM Distinguished Speaker from 2022-2025. </w:t>
      </w:r>
    </w:p>
    <w:p w14:paraId="52942D1D" w14:textId="219B651E" w:rsidR="00D011E4" w:rsidRPr="00740DFF" w:rsidRDefault="00D011E4" w:rsidP="00C47B67">
      <w:pPr>
        <w:pStyle w:val="NormalWeb"/>
        <w:shd w:val="clear" w:color="auto" w:fill="FFFFFF"/>
        <w:jc w:val="both"/>
        <w:rPr>
          <w:color w:val="000000"/>
        </w:rPr>
      </w:pPr>
    </w:p>
    <w:sectPr w:rsidR="00D011E4" w:rsidRPr="00740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E46F3"/>
    <w:multiLevelType w:val="multilevel"/>
    <w:tmpl w:val="350C5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2A6840"/>
    <w:multiLevelType w:val="multilevel"/>
    <w:tmpl w:val="4198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455005">
    <w:abstractNumId w:val="0"/>
  </w:num>
  <w:num w:numId="2" w16cid:durableId="1207567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7A"/>
    <w:rsid w:val="00061D7A"/>
    <w:rsid w:val="00077AD2"/>
    <w:rsid w:val="00090B76"/>
    <w:rsid w:val="00104BC2"/>
    <w:rsid w:val="001174FB"/>
    <w:rsid w:val="001338E7"/>
    <w:rsid w:val="00172A9B"/>
    <w:rsid w:val="00231245"/>
    <w:rsid w:val="00272D45"/>
    <w:rsid w:val="002F34E9"/>
    <w:rsid w:val="00352EFF"/>
    <w:rsid w:val="003E01E7"/>
    <w:rsid w:val="003F17E3"/>
    <w:rsid w:val="0040563F"/>
    <w:rsid w:val="00416A5E"/>
    <w:rsid w:val="004F2491"/>
    <w:rsid w:val="0053157A"/>
    <w:rsid w:val="005808DD"/>
    <w:rsid w:val="00644837"/>
    <w:rsid w:val="00671B19"/>
    <w:rsid w:val="006845C3"/>
    <w:rsid w:val="006F64C6"/>
    <w:rsid w:val="00740DFF"/>
    <w:rsid w:val="00754A0B"/>
    <w:rsid w:val="007716AB"/>
    <w:rsid w:val="00784B36"/>
    <w:rsid w:val="007A6392"/>
    <w:rsid w:val="008458CA"/>
    <w:rsid w:val="0085126C"/>
    <w:rsid w:val="008E7843"/>
    <w:rsid w:val="00934BFF"/>
    <w:rsid w:val="00954CC5"/>
    <w:rsid w:val="0098298E"/>
    <w:rsid w:val="009B74FE"/>
    <w:rsid w:val="009C1CCA"/>
    <w:rsid w:val="009F5213"/>
    <w:rsid w:val="00A101A7"/>
    <w:rsid w:val="00A37691"/>
    <w:rsid w:val="00A97CAF"/>
    <w:rsid w:val="00AE2CAC"/>
    <w:rsid w:val="00AF4F89"/>
    <w:rsid w:val="00C47B67"/>
    <w:rsid w:val="00C50196"/>
    <w:rsid w:val="00CC7046"/>
    <w:rsid w:val="00CE6650"/>
    <w:rsid w:val="00CF17EE"/>
    <w:rsid w:val="00D011E4"/>
    <w:rsid w:val="00D84E1B"/>
    <w:rsid w:val="00DA7719"/>
    <w:rsid w:val="00DC4EC3"/>
    <w:rsid w:val="00DD1C38"/>
    <w:rsid w:val="00DD21A9"/>
    <w:rsid w:val="00DF224F"/>
    <w:rsid w:val="00E223EB"/>
    <w:rsid w:val="00E233E1"/>
    <w:rsid w:val="00EB073B"/>
    <w:rsid w:val="00EB6A58"/>
    <w:rsid w:val="00EC02B9"/>
    <w:rsid w:val="00ED6C80"/>
    <w:rsid w:val="00EF494D"/>
    <w:rsid w:val="00F32CFF"/>
    <w:rsid w:val="00FC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3912CB"/>
  <w15:docId w15:val="{04926C76-12A6-4452-B5D8-0A16DF85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3157A"/>
  </w:style>
  <w:style w:type="paragraph" w:styleId="NormalWeb">
    <w:name w:val="Normal (Web)"/>
    <w:basedOn w:val="Normal"/>
    <w:uiPriority w:val="99"/>
    <w:unhideWhenUsed/>
    <w:rsid w:val="0053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A37691"/>
  </w:style>
  <w:style w:type="character" w:styleId="Hyperlink">
    <w:name w:val="Hyperlink"/>
    <w:basedOn w:val="DefaultParagraphFont"/>
    <w:uiPriority w:val="99"/>
    <w:semiHidden/>
    <w:unhideWhenUsed/>
    <w:rsid w:val="00ED6C8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47B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9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6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Melody</dc:creator>
  <cp:lastModifiedBy>Han, Zhu</cp:lastModifiedBy>
  <cp:revision>10</cp:revision>
  <dcterms:created xsi:type="dcterms:W3CDTF">2024-11-30T02:11:00Z</dcterms:created>
  <dcterms:modified xsi:type="dcterms:W3CDTF">2026-06-10T11:58:00Z</dcterms:modified>
</cp:coreProperties>
</file>